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518"/>
        <w:gridCol w:w="6004"/>
      </w:tblGrid>
      <w:tr w:rsidR="00B40244" w:rsidRPr="00BD6BE1" w:rsidTr="00E8176A">
        <w:tc>
          <w:tcPr>
            <w:tcW w:w="8522" w:type="dxa"/>
            <w:gridSpan w:val="2"/>
          </w:tcPr>
          <w:p w:rsidR="00B40244" w:rsidRPr="00B40244" w:rsidRDefault="00B40244" w:rsidP="00E8176A">
            <w:pPr>
              <w:pStyle w:val="Default"/>
              <w:tabs>
                <w:tab w:val="left" w:pos="3097"/>
              </w:tabs>
              <w:overflowPunct w:val="0"/>
              <w:jc w:val="center"/>
              <w:textAlignment w:val="baseline"/>
              <w:rPr>
                <w:rFonts w:ascii="Tahoma" w:hAnsi="Tahoma" w:cs="Tahoma"/>
                <w:b/>
                <w:iCs/>
                <w:sz w:val="21"/>
                <w:szCs w:val="21"/>
              </w:rPr>
            </w:pPr>
            <w:r w:rsidRPr="00B40244">
              <w:rPr>
                <w:rFonts w:ascii="Tahoma" w:hAnsi="Tahoma" w:cs="Tahoma"/>
                <w:b/>
                <w:iCs/>
                <w:sz w:val="21"/>
                <w:szCs w:val="21"/>
              </w:rPr>
              <w:t>ΠΡΟΚΗΡΥΞΗ ΓΙΑ ΤΗΝ ΠΑΡΑΧΩΡΗΣΗ ΘΕΣΗΣ ΠΕΡΙΠΤΕΡΟΥ</w:t>
            </w:r>
          </w:p>
          <w:p w:rsidR="00B40244" w:rsidRPr="00B40244" w:rsidRDefault="00B40244" w:rsidP="00E8176A">
            <w:pPr>
              <w:pStyle w:val="Default"/>
              <w:tabs>
                <w:tab w:val="left" w:pos="3097"/>
              </w:tabs>
              <w:overflowPunct w:val="0"/>
              <w:jc w:val="center"/>
              <w:textAlignment w:val="baseline"/>
              <w:rPr>
                <w:rFonts w:ascii="Tahoma" w:hAnsi="Tahoma" w:cs="Tahoma"/>
                <w:b/>
                <w:iCs/>
                <w:sz w:val="21"/>
                <w:szCs w:val="21"/>
              </w:rPr>
            </w:pPr>
          </w:p>
        </w:tc>
      </w:tr>
      <w:tr w:rsidR="00B40244" w:rsidRPr="00BD6BE1" w:rsidTr="00E8176A">
        <w:tc>
          <w:tcPr>
            <w:tcW w:w="2518" w:type="dxa"/>
          </w:tcPr>
          <w:p w:rsidR="00B40244" w:rsidRPr="00B40244" w:rsidRDefault="00B40244" w:rsidP="00E8176A">
            <w:pPr>
              <w:pStyle w:val="Default"/>
              <w:overflowPunct w:val="0"/>
              <w:jc w:val="both"/>
              <w:textAlignment w:val="baseline"/>
              <w:rPr>
                <w:rFonts w:ascii="Tahoma" w:hAnsi="Tahoma" w:cs="Tahoma"/>
                <w:sz w:val="21"/>
                <w:szCs w:val="21"/>
              </w:rPr>
            </w:pPr>
            <w:r w:rsidRPr="00B40244">
              <w:rPr>
                <w:rFonts w:ascii="Tahoma" w:hAnsi="Tahoma" w:cs="Tahoma"/>
                <w:sz w:val="21"/>
                <w:szCs w:val="21"/>
              </w:rPr>
              <w:t>Θέση περιπτέρου:</w:t>
            </w:r>
          </w:p>
        </w:tc>
        <w:tc>
          <w:tcPr>
            <w:tcW w:w="6004" w:type="dxa"/>
          </w:tcPr>
          <w:p w:rsidR="00B40244" w:rsidRPr="00B40244" w:rsidRDefault="00B40244" w:rsidP="00E8176A">
            <w:pPr>
              <w:pStyle w:val="Default"/>
              <w:tabs>
                <w:tab w:val="left" w:pos="3097"/>
              </w:tabs>
              <w:overflowPunct w:val="0"/>
              <w:jc w:val="both"/>
              <w:textAlignment w:val="baseline"/>
              <w:rPr>
                <w:rFonts w:ascii="Tahoma" w:hAnsi="Tahoma" w:cs="Tahoma"/>
                <w:iCs/>
                <w:sz w:val="21"/>
                <w:szCs w:val="21"/>
              </w:rPr>
            </w:pPr>
            <w:r w:rsidRPr="00B40244">
              <w:rPr>
                <w:rFonts w:ascii="Tahoma" w:hAnsi="Tahoma" w:cs="Tahoma"/>
                <w:iCs/>
                <w:sz w:val="21"/>
                <w:szCs w:val="21"/>
              </w:rPr>
              <w:t xml:space="preserve">Οδός </w:t>
            </w:r>
            <w:proofErr w:type="spellStart"/>
            <w:r w:rsidRPr="00B40244">
              <w:rPr>
                <w:rFonts w:ascii="Tahoma" w:hAnsi="Tahoma" w:cs="Tahoma"/>
                <w:iCs/>
                <w:sz w:val="21"/>
                <w:szCs w:val="21"/>
              </w:rPr>
              <w:t>Ναυαρίνου</w:t>
            </w:r>
            <w:proofErr w:type="spellEnd"/>
            <w:r w:rsidRPr="00B40244">
              <w:rPr>
                <w:rFonts w:ascii="Tahoma" w:hAnsi="Tahoma" w:cs="Tahoma"/>
                <w:iCs/>
                <w:sz w:val="21"/>
                <w:szCs w:val="21"/>
              </w:rPr>
              <w:t xml:space="preserve"> (έναντι Ι.Ν. Αναστάσεως).</w:t>
            </w:r>
          </w:p>
        </w:tc>
      </w:tr>
      <w:tr w:rsidR="00B40244" w:rsidRPr="00BD6BE1" w:rsidTr="00E8176A">
        <w:tc>
          <w:tcPr>
            <w:tcW w:w="2518" w:type="dxa"/>
          </w:tcPr>
          <w:p w:rsidR="00B40244" w:rsidRPr="00200096" w:rsidRDefault="00B40244" w:rsidP="00E8176A">
            <w:pPr>
              <w:pStyle w:val="Default"/>
              <w:overflowPunct w:val="0"/>
              <w:jc w:val="both"/>
              <w:textAlignment w:val="baseline"/>
              <w:rPr>
                <w:rFonts w:ascii="Tahoma" w:hAnsi="Tahoma" w:cs="Tahoma"/>
                <w:sz w:val="21"/>
                <w:szCs w:val="21"/>
              </w:rPr>
            </w:pPr>
          </w:p>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Διάρκεια παραχώρησης:</w:t>
            </w:r>
          </w:p>
        </w:tc>
        <w:tc>
          <w:tcPr>
            <w:tcW w:w="6004" w:type="dxa"/>
          </w:tcPr>
          <w:p w:rsidR="00B40244" w:rsidRPr="00B40244" w:rsidRDefault="00B40244" w:rsidP="00E8176A">
            <w:pPr>
              <w:pStyle w:val="Default"/>
              <w:overflowPunct w:val="0"/>
              <w:jc w:val="both"/>
              <w:textAlignment w:val="baseline"/>
              <w:rPr>
                <w:rFonts w:ascii="Tahoma" w:hAnsi="Tahoma" w:cs="Tahoma"/>
                <w:sz w:val="21"/>
                <w:szCs w:val="21"/>
              </w:rPr>
            </w:pPr>
          </w:p>
          <w:p w:rsidR="00B40244" w:rsidRPr="00B40244" w:rsidRDefault="00B40244" w:rsidP="00E8176A">
            <w:pPr>
              <w:pStyle w:val="Default"/>
              <w:overflowPunct w:val="0"/>
              <w:jc w:val="both"/>
              <w:textAlignment w:val="baseline"/>
              <w:rPr>
                <w:rFonts w:ascii="Tahoma" w:hAnsi="Tahoma" w:cs="Tahoma"/>
                <w:sz w:val="21"/>
                <w:szCs w:val="21"/>
              </w:rPr>
            </w:pPr>
            <w:r w:rsidRPr="00B40244">
              <w:rPr>
                <w:rFonts w:ascii="Tahoma" w:hAnsi="Tahoma" w:cs="Tahoma"/>
                <w:sz w:val="21"/>
                <w:szCs w:val="21"/>
              </w:rPr>
              <w:t>Δέκα (10) έτη από την υπογραφή της σύμβασης παραχώρησης.</w:t>
            </w:r>
          </w:p>
          <w:p w:rsidR="00B40244" w:rsidRPr="00B40244" w:rsidRDefault="00B40244" w:rsidP="00E8176A">
            <w:pPr>
              <w:pStyle w:val="Default"/>
              <w:overflowPunct w:val="0"/>
              <w:jc w:val="both"/>
              <w:textAlignment w:val="baseline"/>
              <w:rPr>
                <w:rFonts w:ascii="Tahoma" w:hAnsi="Tahoma" w:cs="Tahoma"/>
                <w:sz w:val="21"/>
                <w:szCs w:val="21"/>
              </w:rPr>
            </w:pPr>
            <w:r w:rsidRPr="00B40244">
              <w:rPr>
                <w:rFonts w:ascii="Tahoma" w:hAnsi="Tahoma" w:cs="Tahoma"/>
                <w:sz w:val="21"/>
                <w:szCs w:val="21"/>
              </w:rPr>
              <w:t>Η παραχώρηση δύναται να ξεκινήσει από την 1-9-2020, οπότε και τερματίζεται η υφιστάμενη μίσθωση του περιπτέρου.</w:t>
            </w:r>
          </w:p>
        </w:tc>
      </w:tr>
      <w:tr w:rsidR="00B40244" w:rsidRPr="00BD6BE1" w:rsidTr="00E8176A">
        <w:tc>
          <w:tcPr>
            <w:tcW w:w="2518" w:type="dxa"/>
          </w:tcPr>
          <w:p w:rsidR="00B40244" w:rsidRPr="00200096" w:rsidRDefault="00B40244" w:rsidP="00E8176A">
            <w:pPr>
              <w:pStyle w:val="Default"/>
              <w:overflowPunct w:val="0"/>
              <w:jc w:val="both"/>
              <w:textAlignment w:val="baseline"/>
              <w:rPr>
                <w:rFonts w:ascii="Tahoma" w:hAnsi="Tahoma" w:cs="Tahoma"/>
                <w:sz w:val="21"/>
                <w:szCs w:val="21"/>
              </w:rPr>
            </w:pPr>
          </w:p>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 xml:space="preserve">Κατηγορίες δικαιούχων: </w:t>
            </w:r>
          </w:p>
          <w:p w:rsidR="00B40244" w:rsidRPr="00200096" w:rsidRDefault="00B40244" w:rsidP="00E8176A">
            <w:pPr>
              <w:pStyle w:val="Default"/>
              <w:tabs>
                <w:tab w:val="left" w:pos="3097"/>
              </w:tabs>
              <w:overflowPunct w:val="0"/>
              <w:jc w:val="both"/>
              <w:textAlignment w:val="baseline"/>
              <w:rPr>
                <w:rFonts w:ascii="Tahoma" w:hAnsi="Tahoma" w:cs="Tahoma"/>
                <w:iCs/>
                <w:sz w:val="21"/>
                <w:szCs w:val="21"/>
              </w:rPr>
            </w:pPr>
          </w:p>
        </w:tc>
        <w:tc>
          <w:tcPr>
            <w:tcW w:w="6004" w:type="dxa"/>
          </w:tcPr>
          <w:p w:rsidR="00B40244" w:rsidRPr="00B40244" w:rsidRDefault="00B40244" w:rsidP="00E8176A">
            <w:pPr>
              <w:pStyle w:val="Default"/>
              <w:overflowPunct w:val="0"/>
              <w:jc w:val="both"/>
              <w:textAlignment w:val="baseline"/>
              <w:rPr>
                <w:rFonts w:ascii="Tahoma" w:hAnsi="Tahoma" w:cs="Tahoma"/>
                <w:sz w:val="21"/>
                <w:szCs w:val="21"/>
              </w:rPr>
            </w:pPr>
          </w:p>
          <w:p w:rsidR="00B40244" w:rsidRPr="00B40244" w:rsidRDefault="00B40244" w:rsidP="00E8176A">
            <w:pPr>
              <w:pStyle w:val="Default"/>
              <w:overflowPunct w:val="0"/>
              <w:jc w:val="both"/>
              <w:textAlignment w:val="baseline"/>
              <w:rPr>
                <w:rFonts w:ascii="Tahoma" w:hAnsi="Tahoma" w:cs="Tahoma"/>
                <w:sz w:val="21"/>
                <w:szCs w:val="21"/>
              </w:rPr>
            </w:pPr>
            <w:r w:rsidRPr="00B40244">
              <w:rPr>
                <w:rFonts w:ascii="Tahoma" w:hAnsi="Tahoma" w:cs="Tahoma"/>
                <w:sz w:val="21"/>
                <w:szCs w:val="21"/>
              </w:rPr>
              <w:t>α) άτομα με αναπηρία (</w:t>
            </w:r>
            <w:proofErr w:type="spellStart"/>
            <w:r w:rsidRPr="00B40244">
              <w:rPr>
                <w:rFonts w:ascii="Tahoma" w:hAnsi="Tahoma" w:cs="Tahoma"/>
                <w:sz w:val="21"/>
                <w:szCs w:val="21"/>
              </w:rPr>
              <w:t>Α.με.Α</w:t>
            </w:r>
            <w:proofErr w:type="spellEnd"/>
            <w:r w:rsidRPr="00B40244">
              <w:rPr>
                <w:rFonts w:ascii="Tahoma" w:hAnsi="Tahoma" w:cs="Tahoma"/>
                <w:sz w:val="21"/>
                <w:szCs w:val="21"/>
              </w:rPr>
              <w:t xml:space="preserve">.) ή </w:t>
            </w:r>
          </w:p>
          <w:p w:rsidR="00B40244" w:rsidRPr="00B40244" w:rsidRDefault="00B40244" w:rsidP="00E8176A">
            <w:pPr>
              <w:pStyle w:val="Default"/>
              <w:overflowPunct w:val="0"/>
              <w:jc w:val="both"/>
              <w:textAlignment w:val="baseline"/>
              <w:rPr>
                <w:rFonts w:ascii="Tahoma" w:hAnsi="Tahoma" w:cs="Tahoma"/>
                <w:sz w:val="21"/>
                <w:szCs w:val="21"/>
              </w:rPr>
            </w:pPr>
            <w:r w:rsidRPr="00B40244">
              <w:rPr>
                <w:rFonts w:ascii="Tahoma" w:hAnsi="Tahoma" w:cs="Tahoma"/>
                <w:sz w:val="21"/>
                <w:szCs w:val="21"/>
              </w:rPr>
              <w:t xml:space="preserve">β) πολύτεκνοι ή </w:t>
            </w:r>
          </w:p>
          <w:p w:rsidR="00B40244" w:rsidRPr="00B40244" w:rsidRDefault="00B40244" w:rsidP="00E8176A">
            <w:pPr>
              <w:pStyle w:val="Default"/>
              <w:tabs>
                <w:tab w:val="left" w:pos="3097"/>
              </w:tabs>
              <w:overflowPunct w:val="0"/>
              <w:jc w:val="both"/>
              <w:textAlignment w:val="baseline"/>
              <w:rPr>
                <w:rFonts w:ascii="Tahoma" w:hAnsi="Tahoma" w:cs="Tahoma"/>
                <w:iCs/>
                <w:sz w:val="21"/>
                <w:szCs w:val="21"/>
              </w:rPr>
            </w:pPr>
            <w:r w:rsidRPr="00B40244">
              <w:rPr>
                <w:rFonts w:ascii="Tahoma" w:hAnsi="Tahoma" w:cs="Tahoma"/>
                <w:sz w:val="21"/>
                <w:szCs w:val="21"/>
              </w:rPr>
              <w:t xml:space="preserve">γ) μόνιμοι αξιωματικοί, ανθυπασπιστές και υπαξιωματικοί, δόκιμοι έφεδροι αξιωματικοί και οπλίτες θητείας που συμμετείχαν με οποιονδήποτε τρόπο στα πολεμικά γεγονότα της χρονικής περιόδου από την 20ή Ιουλίου έως την 20ή Αυγούστου 1974 στην Κύπρο, καθώς και στα γεγονότα που έλαβαν χώρα το 1964 στην </w:t>
            </w:r>
            <w:proofErr w:type="spellStart"/>
            <w:r w:rsidRPr="00B40244">
              <w:rPr>
                <w:rFonts w:ascii="Tahoma" w:hAnsi="Tahoma" w:cs="Tahoma"/>
                <w:sz w:val="21"/>
                <w:szCs w:val="21"/>
              </w:rPr>
              <w:t>Τυληρία</w:t>
            </w:r>
            <w:proofErr w:type="spellEnd"/>
            <w:r w:rsidRPr="00B40244">
              <w:rPr>
                <w:rFonts w:ascii="Tahoma" w:hAnsi="Tahoma" w:cs="Tahoma"/>
                <w:sz w:val="21"/>
                <w:szCs w:val="21"/>
              </w:rPr>
              <w:t xml:space="preserve"> και Λευκωσία και το 1967 στην Κοφινού και τους Αγίους Θεοδώρους της Κύπρου. Από την εφαρμογή της παρούσας περίπτωσης εξαιρούνται όσοι ενεπλάκησαν κατά τις παραπάνω περιόδους με οποιονδήποτε τρόπο σε παράνομες δραστηριότητες σε βάρος της νόμιμης λειτουργίας του πολιτεύματος της Κυπριακής Δημοκρατίας. </w:t>
            </w:r>
          </w:p>
        </w:tc>
      </w:tr>
      <w:tr w:rsidR="00B40244" w:rsidRPr="00BD6BE1" w:rsidTr="00E8176A">
        <w:tc>
          <w:tcPr>
            <w:tcW w:w="2518" w:type="dxa"/>
          </w:tcPr>
          <w:p w:rsidR="00B40244" w:rsidRPr="00200096" w:rsidRDefault="00B40244" w:rsidP="00E8176A">
            <w:pPr>
              <w:pStyle w:val="Default"/>
              <w:overflowPunct w:val="0"/>
              <w:jc w:val="both"/>
              <w:textAlignment w:val="baseline"/>
              <w:rPr>
                <w:rFonts w:ascii="Tahoma" w:hAnsi="Tahoma" w:cs="Tahoma"/>
                <w:sz w:val="21"/>
                <w:szCs w:val="21"/>
              </w:rPr>
            </w:pPr>
          </w:p>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Πρόσθετη προϋπόθεση:</w:t>
            </w:r>
          </w:p>
          <w:p w:rsidR="00B40244" w:rsidRPr="00200096" w:rsidRDefault="00B40244" w:rsidP="00E8176A">
            <w:pPr>
              <w:pStyle w:val="Default"/>
              <w:tabs>
                <w:tab w:val="left" w:pos="3097"/>
              </w:tabs>
              <w:overflowPunct w:val="0"/>
              <w:jc w:val="both"/>
              <w:textAlignment w:val="baseline"/>
              <w:rPr>
                <w:rFonts w:ascii="Tahoma" w:hAnsi="Tahoma" w:cs="Tahoma"/>
                <w:iCs/>
                <w:sz w:val="21"/>
                <w:szCs w:val="21"/>
              </w:rPr>
            </w:pPr>
            <w:r w:rsidRPr="00200096">
              <w:rPr>
                <w:rFonts w:ascii="Tahoma" w:hAnsi="Tahoma" w:cs="Tahoma"/>
                <w:sz w:val="21"/>
                <w:szCs w:val="21"/>
              </w:rPr>
              <w:t xml:space="preserve">(Ν. 3463/06, άρθ. 285) </w:t>
            </w:r>
          </w:p>
        </w:tc>
        <w:tc>
          <w:tcPr>
            <w:tcW w:w="6004" w:type="dxa"/>
          </w:tcPr>
          <w:p w:rsidR="00B40244" w:rsidRPr="00200096" w:rsidRDefault="00B40244" w:rsidP="00E8176A">
            <w:pPr>
              <w:pStyle w:val="Default"/>
              <w:overflowPunct w:val="0"/>
              <w:jc w:val="both"/>
              <w:textAlignment w:val="baseline"/>
              <w:rPr>
                <w:rFonts w:ascii="Tahoma" w:hAnsi="Tahoma" w:cs="Tahoma"/>
                <w:sz w:val="21"/>
                <w:szCs w:val="21"/>
              </w:rPr>
            </w:pPr>
          </w:p>
          <w:p w:rsidR="00B40244" w:rsidRPr="00200096" w:rsidRDefault="00B40244" w:rsidP="00E8176A">
            <w:pPr>
              <w:pStyle w:val="Default"/>
              <w:overflowPunct w:val="0"/>
              <w:jc w:val="both"/>
              <w:textAlignment w:val="baseline"/>
              <w:rPr>
                <w:rFonts w:ascii="Tahoma" w:hAnsi="Tahoma" w:cs="Tahoma"/>
                <w:iCs/>
                <w:sz w:val="21"/>
                <w:szCs w:val="21"/>
              </w:rPr>
            </w:pPr>
            <w:r w:rsidRPr="00200096">
              <w:rPr>
                <w:rFonts w:ascii="Tahoma" w:hAnsi="Tahoma" w:cs="Tahoma"/>
                <w:sz w:val="21"/>
                <w:szCs w:val="21"/>
              </w:rPr>
              <w:t>Η μη ύπαρξη, εις βάρος του ενδιαφερομένου, βεβαιωμένων ληξιπρόθεσμων οφειλών προς το Δήμο Καλαμάτας, με εξαίρεση τις περιπτώσεις εκκρεμοδικίας και του διακανονισμού καταβολής αυτών, σύμφωνα με τη σχετική νομοθεσία</w:t>
            </w:r>
            <w:r w:rsidRPr="00200096">
              <w:rPr>
                <w:rFonts w:ascii="Tahoma" w:hAnsi="Tahoma" w:cs="Tahoma"/>
                <w:iCs/>
                <w:sz w:val="21"/>
                <w:szCs w:val="21"/>
              </w:rPr>
              <w:t>.</w:t>
            </w:r>
          </w:p>
        </w:tc>
      </w:tr>
      <w:tr w:rsidR="00B40244" w:rsidRPr="00BD6BE1" w:rsidTr="00E8176A">
        <w:tc>
          <w:tcPr>
            <w:tcW w:w="2518" w:type="dxa"/>
          </w:tcPr>
          <w:p w:rsidR="00B40244" w:rsidRPr="00200096" w:rsidRDefault="00B40244" w:rsidP="00E8176A">
            <w:pPr>
              <w:pStyle w:val="Default"/>
              <w:tabs>
                <w:tab w:val="left" w:pos="3097"/>
              </w:tabs>
              <w:overflowPunct w:val="0"/>
              <w:jc w:val="both"/>
              <w:textAlignment w:val="baseline"/>
              <w:rPr>
                <w:rFonts w:ascii="Tahoma" w:hAnsi="Tahoma" w:cs="Tahoma"/>
                <w:iCs/>
                <w:sz w:val="21"/>
                <w:szCs w:val="21"/>
              </w:rPr>
            </w:pPr>
          </w:p>
          <w:p w:rsidR="00B40244" w:rsidRPr="00200096" w:rsidRDefault="00B40244" w:rsidP="00E8176A">
            <w:pPr>
              <w:pStyle w:val="Default"/>
              <w:tabs>
                <w:tab w:val="left" w:pos="3097"/>
              </w:tabs>
              <w:overflowPunct w:val="0"/>
              <w:jc w:val="both"/>
              <w:textAlignment w:val="baseline"/>
              <w:rPr>
                <w:rFonts w:ascii="Tahoma" w:hAnsi="Tahoma" w:cs="Tahoma"/>
                <w:iCs/>
                <w:sz w:val="21"/>
                <w:szCs w:val="21"/>
              </w:rPr>
            </w:pPr>
            <w:r w:rsidRPr="00200096">
              <w:rPr>
                <w:rFonts w:ascii="Tahoma" w:hAnsi="Tahoma" w:cs="Tahoma"/>
                <w:iCs/>
                <w:sz w:val="21"/>
                <w:szCs w:val="21"/>
              </w:rPr>
              <w:t>Δικαιολογητικά:</w:t>
            </w:r>
          </w:p>
        </w:tc>
        <w:tc>
          <w:tcPr>
            <w:tcW w:w="6004" w:type="dxa"/>
          </w:tcPr>
          <w:p w:rsidR="00B40244" w:rsidRPr="00200096" w:rsidRDefault="00B40244" w:rsidP="00E8176A">
            <w:pPr>
              <w:pStyle w:val="Default"/>
              <w:overflowPunct w:val="0"/>
              <w:jc w:val="both"/>
              <w:textAlignment w:val="baseline"/>
              <w:rPr>
                <w:rFonts w:ascii="Tahoma" w:hAnsi="Tahoma" w:cs="Tahoma"/>
                <w:sz w:val="21"/>
                <w:szCs w:val="21"/>
              </w:rPr>
            </w:pPr>
          </w:p>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 xml:space="preserve">1. Αίτηση </w:t>
            </w:r>
          </w:p>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 xml:space="preserve">2. Φ/Α Αστυνομικής Ταυτότητας </w:t>
            </w:r>
          </w:p>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 xml:space="preserve">3. Εκκαθαριστικό </w:t>
            </w:r>
            <w:r>
              <w:rPr>
                <w:rFonts w:ascii="Tahoma" w:hAnsi="Tahoma" w:cs="Tahoma"/>
                <w:sz w:val="21"/>
                <w:szCs w:val="21"/>
              </w:rPr>
              <w:t xml:space="preserve">και έντυπο Ε1 της φορολογικής δήλωσης </w:t>
            </w:r>
            <w:r w:rsidRPr="00200096">
              <w:rPr>
                <w:rFonts w:ascii="Tahoma" w:hAnsi="Tahoma" w:cs="Tahoma"/>
                <w:sz w:val="21"/>
                <w:szCs w:val="21"/>
              </w:rPr>
              <w:t>έτους 2020</w:t>
            </w:r>
            <w:r>
              <w:rPr>
                <w:rFonts w:ascii="Tahoma" w:hAnsi="Tahoma" w:cs="Tahoma"/>
                <w:sz w:val="21"/>
                <w:szCs w:val="21"/>
              </w:rPr>
              <w:t xml:space="preserve"> (φορολογικό έτος 2019).</w:t>
            </w:r>
            <w:r w:rsidRPr="00200096">
              <w:rPr>
                <w:rFonts w:ascii="Tahoma" w:hAnsi="Tahoma" w:cs="Tahoma"/>
                <w:sz w:val="21"/>
                <w:szCs w:val="21"/>
              </w:rPr>
              <w:t xml:space="preserve"> </w:t>
            </w:r>
          </w:p>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4. Βεβαίωση μη οφειλής προς το Δήμο Καλαμάτας σύμφωνα με το άρθρο 285 του Ν. 3463/06 (</w:t>
            </w:r>
            <w:r w:rsidRPr="00200096">
              <w:rPr>
                <w:rFonts w:ascii="Tahoma" w:hAnsi="Tahoma" w:cs="Tahoma"/>
                <w:i/>
                <w:iCs/>
                <w:sz w:val="21"/>
                <w:szCs w:val="21"/>
              </w:rPr>
              <w:t>Ταμείο Δήμου Καλαμάτας</w:t>
            </w:r>
            <w:r w:rsidRPr="00200096">
              <w:rPr>
                <w:rFonts w:ascii="Tahoma" w:hAnsi="Tahoma" w:cs="Tahoma"/>
                <w:sz w:val="21"/>
                <w:szCs w:val="21"/>
              </w:rPr>
              <w:t>)</w:t>
            </w:r>
          </w:p>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 xml:space="preserve">5. Δικαιολογητικό απόδειξης της ιδιότητας του δικαιούχου: </w:t>
            </w:r>
          </w:p>
          <w:p w:rsidR="00B40244" w:rsidRPr="00200096" w:rsidRDefault="00B40244" w:rsidP="00E8176A">
            <w:pPr>
              <w:pStyle w:val="Default"/>
              <w:overflowPunct w:val="0"/>
              <w:jc w:val="both"/>
              <w:textAlignment w:val="baseline"/>
              <w:rPr>
                <w:rFonts w:ascii="Tahoma" w:hAnsi="Tahoma" w:cs="Tahoma"/>
                <w:sz w:val="21"/>
                <w:szCs w:val="21"/>
              </w:rPr>
            </w:pPr>
          </w:p>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 xml:space="preserve">α) </w:t>
            </w:r>
            <w:r w:rsidRPr="00200096">
              <w:rPr>
                <w:rFonts w:ascii="Tahoma" w:hAnsi="Tahoma" w:cs="Tahoma"/>
                <w:i/>
                <w:iCs/>
                <w:sz w:val="21"/>
                <w:szCs w:val="21"/>
              </w:rPr>
              <w:t xml:space="preserve">Για τα Άτομα με Αναπηρία </w:t>
            </w:r>
            <w:r w:rsidRPr="00200096">
              <w:rPr>
                <w:rFonts w:ascii="Tahoma" w:hAnsi="Tahoma" w:cs="Tahoma"/>
                <w:b/>
                <w:bCs/>
                <w:sz w:val="21"/>
                <w:szCs w:val="21"/>
              </w:rPr>
              <w:t xml:space="preserve">: </w:t>
            </w:r>
            <w:r w:rsidRPr="00200096">
              <w:rPr>
                <w:rFonts w:ascii="Tahoma" w:hAnsi="Tahoma" w:cs="Tahoma"/>
                <w:sz w:val="21"/>
                <w:szCs w:val="21"/>
              </w:rPr>
              <w:t>Πιστοποιητικό της Πρωτοβάθμιας ή Δευτεροβάθμιας υγειονομικής επιτροπής του άρθρου 6 του Ν.2556/1997, όπως ισχύει σήμερα από το οποίο να προκύπτει η πάθηση και το ποσοστό αναπηρίας.</w:t>
            </w:r>
          </w:p>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 xml:space="preserve">β) </w:t>
            </w:r>
            <w:r w:rsidRPr="00200096">
              <w:rPr>
                <w:rFonts w:ascii="Tahoma" w:hAnsi="Tahoma" w:cs="Tahoma"/>
                <w:i/>
                <w:iCs/>
                <w:sz w:val="21"/>
                <w:szCs w:val="21"/>
              </w:rPr>
              <w:t xml:space="preserve">Για τους Πολύτεκνους </w:t>
            </w:r>
            <w:r w:rsidRPr="00200096">
              <w:rPr>
                <w:rFonts w:ascii="Tahoma" w:hAnsi="Tahoma" w:cs="Tahoma"/>
                <w:sz w:val="21"/>
                <w:szCs w:val="21"/>
              </w:rPr>
              <w:t xml:space="preserve">: Πιστοποιητικό της Ανώτατης Συνομοσπονδίας Πολυτέκνων Ελλάδας, που να πιστοποιεί την </w:t>
            </w:r>
            <w:proofErr w:type="spellStart"/>
            <w:r w:rsidRPr="00200096">
              <w:rPr>
                <w:rFonts w:ascii="Tahoma" w:hAnsi="Tahoma" w:cs="Tahoma"/>
                <w:sz w:val="21"/>
                <w:szCs w:val="21"/>
              </w:rPr>
              <w:t>πολυτεκνική</w:t>
            </w:r>
            <w:proofErr w:type="spellEnd"/>
            <w:r w:rsidRPr="00200096">
              <w:rPr>
                <w:rFonts w:ascii="Tahoma" w:hAnsi="Tahoma" w:cs="Tahoma"/>
                <w:sz w:val="21"/>
                <w:szCs w:val="21"/>
              </w:rPr>
              <w:t xml:space="preserve"> ιδιότητα </w:t>
            </w:r>
          </w:p>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 xml:space="preserve">γ) </w:t>
            </w:r>
            <w:r w:rsidRPr="00200096">
              <w:rPr>
                <w:rFonts w:ascii="Tahoma" w:hAnsi="Tahoma" w:cs="Tahoma"/>
                <w:i/>
                <w:iCs/>
                <w:sz w:val="21"/>
                <w:szCs w:val="21"/>
              </w:rPr>
              <w:t xml:space="preserve">Για τους πολεμιστές Κύπρου </w:t>
            </w:r>
            <w:r w:rsidRPr="00200096">
              <w:rPr>
                <w:rFonts w:ascii="Tahoma" w:hAnsi="Tahoma" w:cs="Tahoma"/>
                <w:sz w:val="21"/>
                <w:szCs w:val="21"/>
              </w:rPr>
              <w:t xml:space="preserve">: Πλήρες πιστοποιητικό στρατολογικής κατάστασης τύπου Α΄ και βεβαίωση του οικείου συνδέσμου ή συλλόγου πολεμιστών αναγνωρισμένου από το Υπ. Εθνικής Άμυνας  </w:t>
            </w:r>
          </w:p>
        </w:tc>
      </w:tr>
      <w:tr w:rsidR="00B40244" w:rsidRPr="00BD6BE1" w:rsidTr="00E8176A">
        <w:tc>
          <w:tcPr>
            <w:tcW w:w="2518" w:type="dxa"/>
          </w:tcPr>
          <w:p w:rsidR="00B40244" w:rsidRPr="00200096" w:rsidRDefault="00B40244" w:rsidP="00E8176A">
            <w:pPr>
              <w:pStyle w:val="Default"/>
              <w:overflowPunct w:val="0"/>
              <w:jc w:val="both"/>
              <w:textAlignment w:val="baseline"/>
              <w:rPr>
                <w:rFonts w:ascii="Tahoma" w:hAnsi="Tahoma" w:cs="Tahoma"/>
                <w:sz w:val="21"/>
                <w:szCs w:val="21"/>
              </w:rPr>
            </w:pPr>
          </w:p>
          <w:p w:rsidR="00B40244" w:rsidRPr="00200096" w:rsidRDefault="00B40244" w:rsidP="00E8176A">
            <w:pPr>
              <w:pStyle w:val="Default"/>
              <w:overflowPunct w:val="0"/>
              <w:textAlignment w:val="baseline"/>
              <w:rPr>
                <w:rFonts w:ascii="Tahoma" w:hAnsi="Tahoma" w:cs="Tahoma"/>
                <w:sz w:val="21"/>
                <w:szCs w:val="21"/>
              </w:rPr>
            </w:pPr>
            <w:r w:rsidRPr="00200096">
              <w:rPr>
                <w:rFonts w:ascii="Tahoma" w:hAnsi="Tahoma" w:cs="Tahoma"/>
                <w:sz w:val="21"/>
                <w:szCs w:val="21"/>
              </w:rPr>
              <w:t>Κριτήρια επιλογής για την παραχώρηση:</w:t>
            </w:r>
          </w:p>
          <w:p w:rsidR="00B40244" w:rsidRPr="00200096" w:rsidRDefault="00B40244" w:rsidP="00E8176A">
            <w:pPr>
              <w:pStyle w:val="Default"/>
              <w:overflowPunct w:val="0"/>
              <w:jc w:val="both"/>
              <w:textAlignment w:val="baseline"/>
              <w:rPr>
                <w:rFonts w:ascii="Tahoma" w:hAnsi="Tahoma" w:cs="Tahoma"/>
                <w:iCs/>
                <w:sz w:val="21"/>
                <w:szCs w:val="21"/>
              </w:rPr>
            </w:pPr>
          </w:p>
        </w:tc>
        <w:tc>
          <w:tcPr>
            <w:tcW w:w="6004" w:type="dxa"/>
          </w:tcPr>
          <w:p w:rsidR="00B40244" w:rsidRPr="00B40244" w:rsidRDefault="00B40244" w:rsidP="00E8176A">
            <w:pPr>
              <w:pStyle w:val="Default"/>
              <w:overflowPunct w:val="0"/>
              <w:jc w:val="both"/>
              <w:textAlignment w:val="baseline"/>
              <w:rPr>
                <w:rFonts w:ascii="Tahoma" w:hAnsi="Tahoma" w:cs="Tahoma"/>
                <w:sz w:val="21"/>
                <w:szCs w:val="21"/>
              </w:rPr>
            </w:pPr>
          </w:p>
          <w:p w:rsidR="00B40244" w:rsidRPr="00B40244" w:rsidRDefault="00B40244" w:rsidP="00E8176A">
            <w:pPr>
              <w:pStyle w:val="Default"/>
              <w:overflowPunct w:val="0"/>
              <w:jc w:val="both"/>
              <w:textAlignment w:val="baseline"/>
              <w:rPr>
                <w:rFonts w:ascii="Tahoma" w:hAnsi="Tahoma" w:cs="Tahoma"/>
                <w:sz w:val="21"/>
                <w:szCs w:val="21"/>
              </w:rPr>
            </w:pPr>
            <w:r w:rsidRPr="00B40244">
              <w:rPr>
                <w:rFonts w:ascii="Tahoma" w:hAnsi="Tahoma" w:cs="Tahoma"/>
                <w:sz w:val="21"/>
                <w:szCs w:val="21"/>
              </w:rPr>
              <w:t xml:space="preserve">Το κριτήριο που λαμβάνεται υπόψη για την παραχώρηση της θέσης είναι μόνον εισοδηματικό. Δηλαδή, μετά την υποβολή των αιτήσεων, καταρτίζεται πίνακας με αυτούς που πληρούν όλες τις προϋποθέσεις συμμετοχής. Από αυτούς, επιλέγεται ο έχων το αριθμητικά χαμηλότερο </w:t>
            </w:r>
            <w:r w:rsidRPr="00B40244">
              <w:rPr>
                <w:rFonts w:ascii="Tahoma" w:hAnsi="Tahoma" w:cs="Tahoma"/>
                <w:iCs/>
                <w:sz w:val="21"/>
                <w:szCs w:val="21"/>
              </w:rPr>
              <w:t>οικογενειακό εισόδημα</w:t>
            </w:r>
            <w:r w:rsidRPr="00B40244">
              <w:rPr>
                <w:rFonts w:ascii="Tahoma" w:hAnsi="Tahoma" w:cs="Tahoma"/>
                <w:sz w:val="21"/>
                <w:szCs w:val="21"/>
              </w:rPr>
              <w:t xml:space="preserve">, όπως αυτό ορίζεται στη φορολογική νομοθεσία, δηλαδή το συνολικό ετήσιο φορολογικό πραγματικό ή το εισόδημα που προκύπτει </w:t>
            </w:r>
            <w:r w:rsidRPr="00B40244">
              <w:rPr>
                <w:rFonts w:ascii="Tahoma" w:hAnsi="Tahoma" w:cs="Tahoma"/>
                <w:sz w:val="21"/>
                <w:szCs w:val="21"/>
              </w:rPr>
              <w:lastRenderedPageBreak/>
              <w:t>με βάση τις αντικειμενικές δαπάνες και υπηρεσίες, δαπάνες απόκτησης περιουσιακών στοιχείων, το απαλλασσόμενο ή φορολογούμενο με ειδικό τρόπο εισόδημα του φορολογούμενου, της συζύγου αυτού και των ανήλικων τέκνων του από κάθε πηγή.</w:t>
            </w:r>
            <w:r w:rsidRPr="00B40244">
              <w:rPr>
                <w:rFonts w:ascii="Tahoma" w:hAnsi="Tahoma" w:cs="Tahoma"/>
                <w:b/>
                <w:sz w:val="21"/>
                <w:szCs w:val="21"/>
              </w:rPr>
              <w:t xml:space="preserve"> </w:t>
            </w:r>
            <w:r w:rsidRPr="00B40244">
              <w:rPr>
                <w:rFonts w:ascii="Tahoma" w:hAnsi="Tahoma" w:cs="Tahoma"/>
                <w:sz w:val="21"/>
                <w:szCs w:val="21"/>
              </w:rPr>
              <w:t>Αν την τελευταία θέση καταλαμβάνουν περισσότεροι από ένας δικαιούχοι, γίνεται μεταξύ τους κλήρωση.</w:t>
            </w:r>
          </w:p>
        </w:tc>
      </w:tr>
      <w:tr w:rsidR="00B40244" w:rsidRPr="00BD6BE1" w:rsidTr="00E8176A">
        <w:tc>
          <w:tcPr>
            <w:tcW w:w="2518" w:type="dxa"/>
          </w:tcPr>
          <w:p w:rsidR="00B40244" w:rsidRPr="00200096" w:rsidRDefault="00B40244" w:rsidP="00E8176A">
            <w:pPr>
              <w:pStyle w:val="Default"/>
              <w:overflowPunct w:val="0"/>
              <w:jc w:val="both"/>
              <w:textAlignment w:val="baseline"/>
              <w:rPr>
                <w:rFonts w:ascii="Tahoma" w:hAnsi="Tahoma" w:cs="Tahoma"/>
                <w:sz w:val="21"/>
                <w:szCs w:val="21"/>
              </w:rPr>
            </w:pPr>
          </w:p>
          <w:p w:rsidR="00B40244" w:rsidRPr="00200096" w:rsidRDefault="00B40244" w:rsidP="00E8176A">
            <w:pPr>
              <w:pStyle w:val="Default"/>
              <w:overflowPunct w:val="0"/>
              <w:textAlignment w:val="baseline"/>
              <w:rPr>
                <w:rFonts w:ascii="Tahoma" w:hAnsi="Tahoma" w:cs="Tahoma"/>
                <w:sz w:val="21"/>
                <w:szCs w:val="21"/>
              </w:rPr>
            </w:pPr>
            <w:r w:rsidRPr="00200096">
              <w:rPr>
                <w:rFonts w:ascii="Tahoma" w:hAnsi="Tahoma" w:cs="Tahoma"/>
                <w:sz w:val="21"/>
                <w:szCs w:val="21"/>
              </w:rPr>
              <w:t>Χρόνος υποβολής αιτήσεων:</w:t>
            </w:r>
          </w:p>
        </w:tc>
        <w:tc>
          <w:tcPr>
            <w:tcW w:w="6004" w:type="dxa"/>
          </w:tcPr>
          <w:p w:rsidR="00B40244" w:rsidRPr="00B40244" w:rsidRDefault="00B40244" w:rsidP="00E8176A">
            <w:pPr>
              <w:pStyle w:val="Default"/>
              <w:overflowPunct w:val="0"/>
              <w:jc w:val="both"/>
              <w:textAlignment w:val="baseline"/>
              <w:rPr>
                <w:rFonts w:ascii="Tahoma" w:hAnsi="Tahoma" w:cs="Tahoma"/>
                <w:sz w:val="21"/>
                <w:szCs w:val="21"/>
              </w:rPr>
            </w:pPr>
          </w:p>
          <w:p w:rsidR="00B40244" w:rsidRPr="00B40244" w:rsidRDefault="00B40244" w:rsidP="00316029">
            <w:pPr>
              <w:pStyle w:val="Default"/>
              <w:overflowPunct w:val="0"/>
              <w:jc w:val="both"/>
              <w:textAlignment w:val="baseline"/>
              <w:rPr>
                <w:rFonts w:ascii="Tahoma" w:hAnsi="Tahoma" w:cs="Tahoma"/>
                <w:sz w:val="21"/>
                <w:szCs w:val="21"/>
              </w:rPr>
            </w:pPr>
            <w:r w:rsidRPr="00B40244">
              <w:rPr>
                <w:rFonts w:ascii="Tahoma" w:hAnsi="Tahoma" w:cs="Tahoma"/>
                <w:sz w:val="21"/>
                <w:szCs w:val="21"/>
              </w:rPr>
              <w:t xml:space="preserve">Τα δικαιολογητικά θα πρέπει να κατατεθούν στο Πρωτόκολλο του Δήμου Καλαμάτας </w:t>
            </w:r>
            <w:r w:rsidRPr="00B40244">
              <w:rPr>
                <w:rFonts w:ascii="Tahoma" w:hAnsi="Tahoma" w:cs="Tahoma"/>
                <w:b/>
                <w:sz w:val="21"/>
                <w:szCs w:val="21"/>
              </w:rPr>
              <w:t>από</w:t>
            </w:r>
            <w:r w:rsidRPr="00B40244">
              <w:rPr>
                <w:rFonts w:ascii="Tahoma" w:hAnsi="Tahoma" w:cs="Tahoma"/>
                <w:sz w:val="21"/>
                <w:szCs w:val="21"/>
              </w:rPr>
              <w:t xml:space="preserve"> </w:t>
            </w:r>
            <w:r w:rsidR="00316029" w:rsidRPr="00316029">
              <w:rPr>
                <w:rFonts w:ascii="Tahoma" w:hAnsi="Tahoma" w:cs="Tahoma"/>
                <w:b/>
                <w:sz w:val="21"/>
                <w:szCs w:val="21"/>
              </w:rPr>
              <w:t>1</w:t>
            </w:r>
            <w:r w:rsidRPr="00B40244">
              <w:rPr>
                <w:rFonts w:ascii="Tahoma" w:hAnsi="Tahoma" w:cs="Tahoma"/>
                <w:b/>
                <w:sz w:val="21"/>
                <w:szCs w:val="21"/>
              </w:rPr>
              <w:t>1-08-2020</w:t>
            </w:r>
            <w:r w:rsidRPr="00B40244">
              <w:rPr>
                <w:rFonts w:ascii="Tahoma" w:hAnsi="Tahoma" w:cs="Tahoma"/>
                <w:b/>
                <w:bCs/>
                <w:sz w:val="21"/>
                <w:szCs w:val="21"/>
              </w:rPr>
              <w:t xml:space="preserve"> έως και 25-08-2020. </w:t>
            </w:r>
            <w:r w:rsidRPr="00B40244">
              <w:rPr>
                <w:rFonts w:ascii="Tahoma" w:hAnsi="Tahoma" w:cs="Tahoma"/>
                <w:bCs/>
                <w:sz w:val="21"/>
                <w:szCs w:val="21"/>
                <w:u w:val="single"/>
              </w:rPr>
              <w:t>Αιτήσεις που θα υποβληθούν ε</w:t>
            </w:r>
            <w:r w:rsidRPr="00B40244">
              <w:rPr>
                <w:rFonts w:ascii="Tahoma" w:hAnsi="Tahoma" w:cs="Tahoma"/>
                <w:sz w:val="21"/>
                <w:szCs w:val="21"/>
                <w:u w:val="single"/>
              </w:rPr>
              <w:t>κτός των παραπάνω ημερομηνιών,  απορρίπτονται ως απαράδεκτες</w:t>
            </w:r>
            <w:r w:rsidRPr="00B40244">
              <w:rPr>
                <w:rFonts w:ascii="Tahoma" w:hAnsi="Tahoma" w:cs="Tahoma"/>
                <w:sz w:val="21"/>
                <w:szCs w:val="21"/>
              </w:rPr>
              <w:t xml:space="preserve">. </w:t>
            </w:r>
          </w:p>
        </w:tc>
      </w:tr>
      <w:tr w:rsidR="00B40244" w:rsidRPr="00BD6BE1" w:rsidTr="00E8176A">
        <w:tc>
          <w:tcPr>
            <w:tcW w:w="2518" w:type="dxa"/>
          </w:tcPr>
          <w:p w:rsidR="00B40244" w:rsidRPr="00200096" w:rsidRDefault="00B40244" w:rsidP="00E8176A">
            <w:pPr>
              <w:pStyle w:val="Default"/>
              <w:overflowPunct w:val="0"/>
              <w:jc w:val="both"/>
              <w:textAlignment w:val="baseline"/>
              <w:rPr>
                <w:rFonts w:ascii="Tahoma" w:hAnsi="Tahoma" w:cs="Tahoma"/>
                <w:sz w:val="21"/>
                <w:szCs w:val="21"/>
              </w:rPr>
            </w:pPr>
          </w:p>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Ετήσιο τέλος:</w:t>
            </w:r>
          </w:p>
        </w:tc>
        <w:tc>
          <w:tcPr>
            <w:tcW w:w="6004" w:type="dxa"/>
          </w:tcPr>
          <w:p w:rsidR="00B40244" w:rsidRPr="00B40244" w:rsidRDefault="00B40244" w:rsidP="00E8176A">
            <w:pPr>
              <w:pStyle w:val="Default"/>
              <w:overflowPunct w:val="0"/>
              <w:jc w:val="both"/>
              <w:textAlignment w:val="baseline"/>
              <w:rPr>
                <w:rFonts w:ascii="Tahoma" w:hAnsi="Tahoma" w:cs="Tahoma"/>
                <w:sz w:val="21"/>
                <w:szCs w:val="21"/>
              </w:rPr>
            </w:pPr>
          </w:p>
          <w:p w:rsidR="00B40244" w:rsidRPr="00B40244" w:rsidRDefault="00B40244" w:rsidP="00E8176A">
            <w:pPr>
              <w:pStyle w:val="Default"/>
              <w:overflowPunct w:val="0"/>
              <w:jc w:val="both"/>
              <w:textAlignment w:val="baseline"/>
              <w:rPr>
                <w:rFonts w:ascii="Tahoma" w:hAnsi="Tahoma" w:cs="Tahoma"/>
                <w:iCs/>
                <w:sz w:val="21"/>
                <w:szCs w:val="21"/>
              </w:rPr>
            </w:pPr>
            <w:r w:rsidRPr="00B40244">
              <w:rPr>
                <w:rFonts w:ascii="Tahoma" w:hAnsi="Tahoma" w:cs="Tahoma"/>
                <w:sz w:val="21"/>
                <w:szCs w:val="21"/>
              </w:rPr>
              <w:t xml:space="preserve">Η χώρος που θα παραχωρηθεί υπόκειται σε ετήσιο τέλος, το ύψος του οποίου καθορίζεται ετησίως με Απόφαση του Δημοτικού Συμβουλίου. Για το έτος 2020 </w:t>
            </w:r>
            <w:r w:rsidRPr="00B40244">
              <w:rPr>
                <w:rFonts w:ascii="Tahoma" w:hAnsi="Tahoma" w:cs="Tahoma"/>
                <w:iCs/>
                <w:sz w:val="21"/>
                <w:szCs w:val="21"/>
              </w:rPr>
              <w:t>(αρ. 560/2019 Απόφαση ΔΣ Καλαμάτας)</w:t>
            </w:r>
            <w:r w:rsidRPr="00B40244">
              <w:rPr>
                <w:rFonts w:ascii="Tahoma" w:hAnsi="Tahoma" w:cs="Tahoma"/>
                <w:sz w:val="21"/>
                <w:szCs w:val="21"/>
              </w:rPr>
              <w:t xml:space="preserve"> το τέλος ανέρχεται σε εκατό </w:t>
            </w:r>
            <w:r w:rsidRPr="00B40244">
              <w:rPr>
                <w:rFonts w:ascii="Tahoma" w:hAnsi="Tahoma" w:cs="Tahoma"/>
                <w:iCs/>
                <w:sz w:val="21"/>
                <w:szCs w:val="21"/>
              </w:rPr>
              <w:t xml:space="preserve"> (100) ευρώ ανά </w:t>
            </w:r>
            <w:proofErr w:type="spellStart"/>
            <w:r w:rsidRPr="00B40244">
              <w:rPr>
                <w:rFonts w:ascii="Tahoma" w:hAnsi="Tahoma" w:cs="Tahoma"/>
                <w:iCs/>
                <w:sz w:val="21"/>
                <w:szCs w:val="21"/>
              </w:rPr>
              <w:t>τ.μ</w:t>
            </w:r>
            <w:proofErr w:type="spellEnd"/>
            <w:r w:rsidRPr="00B40244">
              <w:rPr>
                <w:rFonts w:ascii="Tahoma" w:hAnsi="Tahoma" w:cs="Tahoma"/>
                <w:iCs/>
                <w:sz w:val="21"/>
                <w:szCs w:val="21"/>
              </w:rPr>
              <w:t xml:space="preserve">. που καταλαμβάνει η κατασκευή (κουβούκλιο) του περιπτέρου και α) </w:t>
            </w:r>
            <w:r w:rsidRPr="00B40244">
              <w:rPr>
                <w:rFonts w:ascii="Tahoma" w:hAnsi="Tahoma" w:cs="Tahoma"/>
                <w:sz w:val="21"/>
                <w:szCs w:val="21"/>
              </w:rPr>
              <w:t xml:space="preserve">20,00 €/τμ/ έτος για έως 6,5 </w:t>
            </w:r>
            <w:proofErr w:type="spellStart"/>
            <w:r w:rsidRPr="00B40244">
              <w:rPr>
                <w:rFonts w:ascii="Tahoma" w:hAnsi="Tahoma" w:cs="Tahoma"/>
                <w:sz w:val="21"/>
                <w:szCs w:val="21"/>
              </w:rPr>
              <w:t>τ.μ</w:t>
            </w:r>
            <w:proofErr w:type="spellEnd"/>
            <w:r w:rsidRPr="00B40244">
              <w:rPr>
                <w:rFonts w:ascii="Tahoma" w:hAnsi="Tahoma" w:cs="Tahoma"/>
                <w:sz w:val="21"/>
                <w:szCs w:val="21"/>
              </w:rPr>
              <w:t>. υπαίθριου χώρου, β) 50,00€/ τμ/ έτος από 6,51τ.μ. έως 10,00τ.μ. υπαίθριου χώρου</w:t>
            </w:r>
            <w:r w:rsidRPr="00B40244">
              <w:rPr>
                <w:rFonts w:ascii="Tahoma" w:hAnsi="Tahoma" w:cs="Tahoma"/>
                <w:iCs/>
                <w:sz w:val="21"/>
                <w:szCs w:val="21"/>
              </w:rPr>
              <w:t xml:space="preserve">. Για το χρονικό διάστημα από την έναρξη της παραχώρησης έως το τέλος του έτους, το ετήσιο τέλος θα καταβληθεί αναλογικά. </w:t>
            </w:r>
          </w:p>
        </w:tc>
      </w:tr>
      <w:tr w:rsidR="00B40244" w:rsidRPr="00BD6BE1" w:rsidTr="00E8176A">
        <w:tc>
          <w:tcPr>
            <w:tcW w:w="2518" w:type="dxa"/>
          </w:tcPr>
          <w:p w:rsidR="00B40244" w:rsidRPr="00B40244" w:rsidRDefault="00B40244" w:rsidP="00E8176A">
            <w:pPr>
              <w:pStyle w:val="Default"/>
              <w:overflowPunct w:val="0"/>
              <w:jc w:val="both"/>
              <w:textAlignment w:val="baseline"/>
              <w:rPr>
                <w:rFonts w:ascii="Tahoma" w:hAnsi="Tahoma" w:cs="Tahoma"/>
                <w:sz w:val="21"/>
                <w:szCs w:val="21"/>
              </w:rPr>
            </w:pPr>
          </w:p>
          <w:p w:rsidR="00B40244" w:rsidRPr="00B40244" w:rsidRDefault="00B40244" w:rsidP="00E8176A">
            <w:pPr>
              <w:pStyle w:val="Default"/>
              <w:overflowPunct w:val="0"/>
              <w:jc w:val="both"/>
              <w:textAlignment w:val="baseline"/>
              <w:rPr>
                <w:rFonts w:ascii="Tahoma" w:hAnsi="Tahoma" w:cs="Tahoma"/>
                <w:sz w:val="21"/>
                <w:szCs w:val="21"/>
              </w:rPr>
            </w:pPr>
            <w:r w:rsidRPr="00B40244">
              <w:rPr>
                <w:rFonts w:ascii="Tahoma" w:hAnsi="Tahoma" w:cs="Tahoma"/>
                <w:sz w:val="21"/>
                <w:szCs w:val="21"/>
              </w:rPr>
              <w:t xml:space="preserve">Κουβούκλιο: </w:t>
            </w:r>
          </w:p>
        </w:tc>
        <w:tc>
          <w:tcPr>
            <w:tcW w:w="6004" w:type="dxa"/>
          </w:tcPr>
          <w:p w:rsidR="00B40244" w:rsidRPr="00B40244" w:rsidRDefault="00B40244" w:rsidP="00E8176A">
            <w:pPr>
              <w:pStyle w:val="Default"/>
              <w:overflowPunct w:val="0"/>
              <w:jc w:val="both"/>
              <w:textAlignment w:val="baseline"/>
              <w:rPr>
                <w:rFonts w:ascii="Tahoma" w:hAnsi="Tahoma" w:cs="Tahoma"/>
                <w:iCs/>
                <w:sz w:val="21"/>
                <w:szCs w:val="21"/>
              </w:rPr>
            </w:pPr>
          </w:p>
          <w:p w:rsidR="00B40244" w:rsidRPr="00B40244" w:rsidRDefault="00B40244" w:rsidP="00E8176A">
            <w:pPr>
              <w:pStyle w:val="Default"/>
              <w:overflowPunct w:val="0"/>
              <w:jc w:val="both"/>
              <w:textAlignment w:val="baseline"/>
              <w:rPr>
                <w:rFonts w:ascii="Tahoma" w:hAnsi="Tahoma" w:cs="Tahoma"/>
                <w:iCs/>
                <w:sz w:val="21"/>
                <w:szCs w:val="21"/>
              </w:rPr>
            </w:pPr>
            <w:r w:rsidRPr="00B40244">
              <w:rPr>
                <w:rFonts w:ascii="Tahoma" w:hAnsi="Tahoma" w:cs="Tahoma"/>
                <w:iCs/>
                <w:sz w:val="21"/>
                <w:szCs w:val="21"/>
              </w:rPr>
              <w:t>Ο Δήμος παραχωρεί το χώρο εγκατάστασης του περιπτέρου και όχι κουβούκλιο. Η προμήθεια του κουβουκλίου, αποτελεί ευθύνη και υποχρέωση του δικαιούχου. Το κουβούκλιο θα πρέπει να πληροί τις προϋποθέσεις της ισχύουσας κανονιστικής Απόφασης του Δημοτικού Συμβουλίου, αναφορικά με τον τύπο και της διαστάσεις αυτού.</w:t>
            </w:r>
          </w:p>
          <w:p w:rsidR="00B40244" w:rsidRPr="00B40244" w:rsidRDefault="00B40244" w:rsidP="00E8176A">
            <w:pPr>
              <w:pStyle w:val="Default"/>
              <w:overflowPunct w:val="0"/>
              <w:jc w:val="both"/>
              <w:textAlignment w:val="baseline"/>
              <w:rPr>
                <w:rFonts w:ascii="Tahoma" w:hAnsi="Tahoma" w:cs="Tahoma"/>
                <w:sz w:val="21"/>
                <w:szCs w:val="21"/>
              </w:rPr>
            </w:pPr>
          </w:p>
        </w:tc>
      </w:tr>
      <w:tr w:rsidR="00B40244" w:rsidRPr="00BD6BE1" w:rsidTr="00E8176A">
        <w:tc>
          <w:tcPr>
            <w:tcW w:w="2518" w:type="dxa"/>
          </w:tcPr>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sz w:val="21"/>
                <w:szCs w:val="21"/>
              </w:rPr>
              <w:t>Αναπλήρωση δικαιούχου-Εκμίσθωση:</w:t>
            </w:r>
          </w:p>
          <w:p w:rsidR="00B40244" w:rsidRPr="00200096" w:rsidRDefault="00B40244" w:rsidP="00E8176A">
            <w:pPr>
              <w:pStyle w:val="Default"/>
              <w:tabs>
                <w:tab w:val="left" w:pos="3097"/>
              </w:tabs>
              <w:overflowPunct w:val="0"/>
              <w:jc w:val="both"/>
              <w:textAlignment w:val="baseline"/>
              <w:rPr>
                <w:rFonts w:ascii="Tahoma" w:hAnsi="Tahoma" w:cs="Tahoma"/>
                <w:iCs/>
                <w:sz w:val="21"/>
                <w:szCs w:val="21"/>
              </w:rPr>
            </w:pPr>
          </w:p>
        </w:tc>
        <w:tc>
          <w:tcPr>
            <w:tcW w:w="6004" w:type="dxa"/>
          </w:tcPr>
          <w:p w:rsidR="00B40244" w:rsidRPr="00200096" w:rsidRDefault="00B40244" w:rsidP="00E8176A">
            <w:pPr>
              <w:pStyle w:val="Default"/>
              <w:overflowPunct w:val="0"/>
              <w:jc w:val="both"/>
              <w:textAlignment w:val="baseline"/>
              <w:rPr>
                <w:rFonts w:ascii="Tahoma" w:hAnsi="Tahoma" w:cs="Tahoma"/>
                <w:sz w:val="21"/>
                <w:szCs w:val="21"/>
              </w:rPr>
            </w:pPr>
            <w:r w:rsidRPr="00200096">
              <w:rPr>
                <w:rFonts w:ascii="Tahoma" w:hAnsi="Tahoma" w:cs="Tahoma"/>
                <w:iCs/>
                <w:sz w:val="21"/>
                <w:szCs w:val="21"/>
              </w:rPr>
              <w:t>Τον δικαιούχο μπορεί να αναπληρώνει ο/η σύζυγος και τα ενήλικα τέκνα, τα στοιχεία των οποίων αναγράφονται στην πράξη παραχώρησης. Εκμίσθωση του δικαιώματος εκμετάλλευσης σε τρίτους, επιτρέπεται μόνον για λόγους γήρατος ή σε περίπτωση αναπηρίας του δικαιούχου σε ποσοστό 67% και άνω, η οποία αποδεικνύεται βάσει των εκάστοτε ισχυουσών διατάξεων. Σε περίπτωση εκμίσθωσης, αντίγραφο του μισθωτηρίου κατατίθεται στο Δήμο ο οποίος εκδίδει πράξη με την οποία διαπιστώνεται η παραχώρηση.</w:t>
            </w:r>
          </w:p>
        </w:tc>
      </w:tr>
    </w:tbl>
    <w:p w:rsidR="00B40244" w:rsidRDefault="00B40244" w:rsidP="00B40244">
      <w:pPr>
        <w:jc w:val="both"/>
        <w:rPr>
          <w:rFonts w:ascii="Tahoma" w:hAnsi="Tahoma" w:cs="Tahoma"/>
          <w:sz w:val="22"/>
          <w:szCs w:val="22"/>
        </w:rPr>
      </w:pPr>
    </w:p>
    <w:p w:rsidR="00536531" w:rsidRDefault="00536531"/>
    <w:sectPr w:rsidR="00536531" w:rsidSect="0053653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40244"/>
    <w:rsid w:val="00316029"/>
    <w:rsid w:val="00536531"/>
    <w:rsid w:val="00B40244"/>
    <w:rsid w:val="00C105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244"/>
    <w:pPr>
      <w:widowControl w:val="0"/>
      <w:spacing w:after="0" w:line="240" w:lineRule="auto"/>
    </w:pPr>
    <w:rPr>
      <w:rFonts w:ascii="Verdana" w:eastAsia="Times New Roman" w:hAnsi="Verdana"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0244"/>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3801</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P_Karalis</dc:creator>
  <cp:lastModifiedBy>P_Karalis</cp:lastModifiedBy>
  <cp:revision>2</cp:revision>
  <dcterms:created xsi:type="dcterms:W3CDTF">2020-08-05T08:04:00Z</dcterms:created>
  <dcterms:modified xsi:type="dcterms:W3CDTF">2020-08-13T09:07:00Z</dcterms:modified>
</cp:coreProperties>
</file>